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0" w:name="_Ref409196594"/>
      <w:bookmarkStart w:id="1" w:name="_Ref284799018"/>
      <w:bookmarkEnd w:id="0"/>
      <w:bookmarkEnd w:id="1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2" w:name="_Hlt309243437"/>
      <w:bookmarkEnd w:id="2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302586">
        <w:lastRenderedPageBreak/>
        <w:t>Общие положения</w:t>
      </w:r>
      <w:bookmarkEnd w:id="35"/>
      <w:bookmarkEnd w:id="36"/>
      <w:bookmarkEnd w:id="37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2"/>
      <w:bookmarkEnd w:id="263"/>
      <w:bookmarkEnd w:id="264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5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5"/>
    </w:p>
    <w:p w14:paraId="3B52B0F1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6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77777777"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7658137"/>
      <w:bookmarkStart w:id="268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14:paraId="3EDD0A6B" w14:textId="77777777"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участниками </w:t>
      </w:r>
      <w:r w:rsidRPr="00302586">
        <w:lastRenderedPageBreak/>
        <w:t>(акционерами) этих организаций, членами их органов управления, кредиторами указанных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t>неполнородными</w:t>
      </w:r>
      <w:proofErr w:type="spellEnd"/>
      <w:r w:rsidRPr="00302586">
        <w:t xml:space="preserve">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9" w:name="_Ref417472223"/>
      <w:bookmarkEnd w:id="267"/>
      <w:bookmarkEnd w:id="268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15463CF8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 xml:space="preserve">определяется либо распорядительным документом руководителя соответствующего заказчика, в котором создается ЗК (при </w:t>
      </w:r>
      <w:r w:rsidRPr="00F64B3C">
        <w:rPr>
          <w:b w:val="0"/>
        </w:rPr>
        <w:lastRenderedPageBreak/>
        <w:t>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0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472239"/>
      <w:bookmarkEnd w:id="269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1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2" w:name="_Toc417909024"/>
      <w:bookmarkStart w:id="273" w:name="_Toc443051049"/>
      <w:bookmarkStart w:id="274" w:name="_Toc422420119"/>
      <w:r w:rsidRPr="00302586">
        <w:t>Права и обязанности членов ЗК</w:t>
      </w:r>
      <w:bookmarkEnd w:id="272"/>
      <w:bookmarkEnd w:id="273"/>
      <w:bookmarkEnd w:id="274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77777777"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5" w:name="_Toc417909025"/>
      <w:bookmarkStart w:id="276" w:name="_Toc443051050"/>
      <w:bookmarkStart w:id="277" w:name="_Toc422420120"/>
      <w:r w:rsidRPr="00302586">
        <w:t>Права и обязанности председателя</w:t>
      </w:r>
      <w:bookmarkEnd w:id="275"/>
      <w:bookmarkEnd w:id="276"/>
      <w:bookmarkEnd w:id="277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8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8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79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79"/>
    </w:p>
    <w:p w14:paraId="7F013ED8" w14:textId="77777777" w:rsidR="003C1636" w:rsidRPr="00302586" w:rsidRDefault="003C1636" w:rsidP="004849A8">
      <w:pPr>
        <w:pStyle w:val="5"/>
        <w:ind w:left="1985"/>
      </w:pPr>
      <w:bookmarkStart w:id="280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1" w:name="_Toc422087617"/>
      <w:bookmarkStart w:id="282" w:name="_Toc422141564"/>
      <w:bookmarkStart w:id="283" w:name="_Toc422144276"/>
      <w:bookmarkStart w:id="284" w:name="_Toc422167087"/>
      <w:bookmarkStart w:id="285" w:name="_Toc417909026"/>
      <w:bookmarkStart w:id="286" w:name="_Toc443051051"/>
      <w:bookmarkStart w:id="287" w:name="_Toc422420121"/>
      <w:bookmarkEnd w:id="281"/>
      <w:bookmarkEnd w:id="282"/>
      <w:bookmarkEnd w:id="283"/>
      <w:bookmarkEnd w:id="284"/>
      <w:r w:rsidRPr="00302586">
        <w:t>Права и обязанности заместителя председателя</w:t>
      </w:r>
      <w:bookmarkEnd w:id="285"/>
      <w:bookmarkEnd w:id="286"/>
      <w:bookmarkEnd w:id="287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8" w:name="_Toc417909027"/>
      <w:bookmarkStart w:id="289" w:name="_Toc443051052"/>
      <w:bookmarkStart w:id="290" w:name="_Toc422420122"/>
      <w:r w:rsidRPr="00302586">
        <w:t>Права и обязанности секретаря</w:t>
      </w:r>
      <w:bookmarkEnd w:id="288"/>
      <w:bookmarkEnd w:id="289"/>
      <w:bookmarkEnd w:id="290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1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1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77777777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 xml:space="preserve">получает и передает в адрес председателя ЦЗК обращение субъекта права «вето» по факту </w:t>
      </w:r>
      <w:proofErr w:type="spellStart"/>
      <w:r w:rsidRPr="00C023CC">
        <w:t>неучета</w:t>
      </w:r>
      <w:proofErr w:type="spellEnd"/>
      <w:r w:rsidRPr="00C023CC">
        <w:t xml:space="preserve">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77777777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40FF16A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06005B8C" w:rsidR="008575DB" w:rsidRPr="00302586" w:rsidRDefault="003C1636" w:rsidP="004849A8">
      <w:pPr>
        <w:pStyle w:val="5"/>
        <w:ind w:left="1985"/>
      </w:pPr>
      <w:r w:rsidRPr="00302586">
        <w:t xml:space="preserve">в случае проведения закупки </w:t>
      </w:r>
      <w:r w:rsidR="0060782A">
        <w:t>(</w:t>
      </w:r>
      <w:r w:rsidRPr="00302586">
        <w:t>в</w:t>
      </w:r>
      <w:r w:rsidR="0060782A">
        <w:t xml:space="preserve"> электронной или бумажной</w:t>
      </w:r>
      <w:r w:rsidRPr="00302586">
        <w:t xml:space="preserve"> форме</w:t>
      </w:r>
      <w:r w:rsidR="0060782A">
        <w:t>), сведения о которой не составляют государственную тайну, но не подлежат размещению в ЕИС (раздел 19.6. Положения о закупке)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t xml:space="preserve">приглашений к участию в закупке, </w:t>
      </w:r>
      <w:proofErr w:type="gramStart"/>
      <w:r w:rsidRPr="00302586">
        <w:t>копий</w:t>
      </w:r>
      <w:proofErr w:type="gramEnd"/>
      <w:r w:rsidRPr="00302586">
        <w:t xml:space="preserve">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77777777" w:rsidR="003C1636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 xml:space="preserve">и подписывает их, </w:t>
      </w:r>
      <w:r w:rsidR="005E02F1" w:rsidRPr="00302586">
        <w:t xml:space="preserve">а при </w:t>
      </w:r>
      <w:r w:rsidR="003C44C5" w:rsidRPr="00302586">
        <w:t xml:space="preserve">оформлении протокола </w:t>
      </w:r>
      <w:r w:rsidR="00250F01" w:rsidRPr="00302586">
        <w:t xml:space="preserve">открытия доступа </w:t>
      </w:r>
      <w:r w:rsidR="003C44C5" w:rsidRPr="00302586">
        <w:t xml:space="preserve">к заявкам при </w:t>
      </w:r>
      <w:r w:rsidR="005E02F1" w:rsidRPr="00302586">
        <w:t>проведении закупки в электронной форме способами конкурс, запрос предложений</w:t>
      </w:r>
      <w:r w:rsidR="0060782A">
        <w:t>, тендер</w:t>
      </w:r>
      <w:r w:rsidR="001B0BB7" w:rsidRPr="00302586">
        <w:t xml:space="preserve"> </w:t>
      </w:r>
      <w:r w:rsidRPr="00302586">
        <w:t xml:space="preserve">обеспечивает </w:t>
      </w:r>
      <w:r w:rsidR="00C542FA" w:rsidRPr="00302586">
        <w:t xml:space="preserve">его </w:t>
      </w:r>
      <w:r w:rsidRPr="00302586">
        <w:t>подписание</w:t>
      </w:r>
      <w:r w:rsidR="005E02F1" w:rsidRPr="00302586">
        <w:t xml:space="preserve"> </w:t>
      </w:r>
      <w:r w:rsidRPr="00302586">
        <w:t xml:space="preserve">не менее чем </w:t>
      </w:r>
      <w:r w:rsidR="00155869" w:rsidRPr="00302586">
        <w:t>2-мя (</w:t>
      </w:r>
      <w:r w:rsidRPr="00302586">
        <w:t>двумя</w:t>
      </w:r>
      <w:r w:rsidR="00155869" w:rsidRPr="00302586">
        <w:t>)</w:t>
      </w:r>
      <w:r w:rsidRPr="00302586">
        <w:t xml:space="preserve"> членами </w:t>
      </w:r>
      <w:r w:rsidR="00D37FA7" w:rsidRPr="00302586">
        <w:t>ЗК</w:t>
      </w:r>
      <w:r w:rsidR="003C44C5" w:rsidRPr="00302586">
        <w:t>, присутствующими на процедуре открытия доступа,</w:t>
      </w:r>
      <w:r w:rsidRPr="00302586">
        <w:t xml:space="preserve"> не </w:t>
      </w:r>
      <w:r w:rsidR="00967BE9" w:rsidRPr="00302586">
        <w:t xml:space="preserve">позднее </w:t>
      </w:r>
      <w:r w:rsidRPr="00302586">
        <w:t>следующего рабочего дня после проведения</w:t>
      </w:r>
      <w:r w:rsidR="003C44C5" w:rsidRPr="00302586">
        <w:t xml:space="preserve"> данной</w:t>
      </w:r>
      <w:r w:rsidRPr="00302586">
        <w:t xml:space="preserve"> процедуры;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7777777" w:rsidR="003C1636" w:rsidRPr="0030258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</w:p>
    <w:p w14:paraId="30E3DD0B" w14:textId="77777777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30A3B761" w14:textId="77777777" w:rsidR="003C1636" w:rsidRPr="00302586" w:rsidRDefault="00B10376" w:rsidP="004849A8">
      <w:pPr>
        <w:pStyle w:val="5"/>
        <w:ind w:left="1985"/>
      </w:pPr>
      <w:r w:rsidRPr="00302586">
        <w:t xml:space="preserve">обеспечивает проверку осуществления </w:t>
      </w:r>
      <w:r w:rsidR="003C1636" w:rsidRPr="00302586">
        <w:t>подготовк</w:t>
      </w:r>
      <w:r w:rsidRPr="00302586">
        <w:t>и</w:t>
      </w:r>
      <w:r w:rsidR="003C1636" w:rsidRPr="00302586">
        <w:t xml:space="preserve"> документов для возврата заявок, поданных после указанных в </w:t>
      </w:r>
      <w:r w:rsidR="0060782A">
        <w:t xml:space="preserve">извещении, </w:t>
      </w:r>
      <w:r w:rsidR="003C1636" w:rsidRPr="00302586">
        <w:t>документации о закупке даты и времени приема заявок;</w:t>
      </w:r>
    </w:p>
    <w:p w14:paraId="13BEC98D" w14:textId="77777777" w:rsidR="003C1636" w:rsidRPr="00302586" w:rsidRDefault="005E02F1" w:rsidP="004849A8">
      <w:pPr>
        <w:pStyle w:val="5"/>
        <w:ind w:left="1985"/>
      </w:pPr>
      <w:r w:rsidRPr="00302586">
        <w:t>обеспечивает направление на</w:t>
      </w:r>
      <w:r w:rsidR="00E33E93" w:rsidRPr="00302586">
        <w:t xml:space="preserve"> архивное хранение всех документов и материалов, сформированных и полученных ЗК</w:t>
      </w:r>
      <w:r w:rsidR="009A56F4" w:rsidRPr="00302586">
        <w:t xml:space="preserve"> </w:t>
      </w:r>
      <w:r w:rsidR="00E33E93" w:rsidRPr="00302586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2" w:name="_Ref422253773"/>
      <w:bookmarkStart w:id="293" w:name="_Toc443051977"/>
      <w:bookmarkStart w:id="294" w:name="_Toc422429814"/>
      <w:bookmarkStart w:id="295" w:name="_Ref416256740"/>
      <w:bookmarkStart w:id="296" w:name="_Toc417909028"/>
      <w:bookmarkStart w:id="297" w:name="_Toc443051053"/>
      <w:bookmarkStart w:id="298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2"/>
      <w:bookmarkEnd w:id="293"/>
      <w:bookmarkEnd w:id="294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99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5"/>
      <w:bookmarkEnd w:id="296"/>
      <w:bookmarkEnd w:id="297"/>
      <w:bookmarkEnd w:id="298"/>
      <w:bookmarkEnd w:id="299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77777777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16256752"/>
      <w:bookmarkStart w:id="301" w:name="_Ref417908549"/>
      <w:bookmarkStart w:id="302" w:name="_Toc417909029"/>
      <w:bookmarkStart w:id="303" w:name="_Toc443051054"/>
      <w:bookmarkStart w:id="304" w:name="_Toc422420124"/>
      <w:r w:rsidRPr="00302586">
        <w:t xml:space="preserve">Приглашение сторонних лиц на заседания </w:t>
      </w:r>
      <w:bookmarkEnd w:id="300"/>
      <w:r w:rsidR="003123D4" w:rsidRPr="00302586">
        <w:t>ЗК</w:t>
      </w:r>
      <w:bookmarkEnd w:id="301"/>
      <w:bookmarkEnd w:id="302"/>
      <w:bookmarkEnd w:id="303"/>
      <w:bookmarkEnd w:id="304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5541870" w14:textId="77777777"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14:paraId="663A769F" w14:textId="2C8EAB6F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</w:t>
      </w:r>
      <w:bookmarkStart w:id="305" w:name="_GoBack"/>
      <w:bookmarkEnd w:id="305"/>
      <w:r w:rsidR="0085171F" w:rsidRPr="00073B6C">
        <w:rPr>
          <w:b w:val="0"/>
        </w:rPr>
        <w:t>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6" w:name="_Toc417909030"/>
      <w:bookmarkStart w:id="307" w:name="_Toc443051055"/>
      <w:bookmarkStart w:id="308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6"/>
      <w:bookmarkEnd w:id="307"/>
      <w:bookmarkEnd w:id="308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9" w:name="_Toc417909031"/>
      <w:bookmarkStart w:id="310" w:name="_Ref419211803"/>
      <w:bookmarkStart w:id="311" w:name="_Toc443051056"/>
      <w:bookmarkStart w:id="312" w:name="_Toc422420126"/>
      <w:r w:rsidRPr="00302586">
        <w:t xml:space="preserve">Порядок работы </w:t>
      </w:r>
      <w:r w:rsidR="005C5D2D" w:rsidRPr="00302586">
        <w:t>ЗК</w:t>
      </w:r>
      <w:bookmarkEnd w:id="309"/>
      <w:bookmarkEnd w:id="310"/>
      <w:bookmarkEnd w:id="311"/>
      <w:bookmarkEnd w:id="312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3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4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5"/>
    </w:p>
    <w:p w14:paraId="455DE257" w14:textId="74B7A571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 xml:space="preserve"> 7.2.5.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77777777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 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 xml:space="preserve">(одного) рабочего дня после получения результатов голосования принимает решение по вопросу заседания и, при необходимости, применяет право «вето», </w:t>
      </w:r>
      <w:proofErr w:type="gramStart"/>
      <w:r w:rsidRPr="00F64B3C">
        <w:rPr>
          <w:b w:val="0"/>
        </w:rPr>
        <w:t>информацию</w:t>
      </w:r>
      <w:proofErr w:type="gramEnd"/>
      <w:r w:rsidRPr="00F64B3C">
        <w:rPr>
          <w:b w:val="0"/>
        </w:rPr>
        <w:t xml:space="preserve">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22256347"/>
      <w:r w:rsidRPr="00F64B3C">
        <w:rPr>
          <w:b w:val="0"/>
        </w:rPr>
        <w:t>В случае применения права «вето» председатель:</w:t>
      </w:r>
      <w:bookmarkEnd w:id="316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A769D5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7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7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t>Порядок подписания протоколов</w:t>
      </w:r>
      <w:bookmarkEnd w:id="318"/>
      <w:bookmarkEnd w:id="319"/>
      <w:bookmarkEnd w:id="320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7777777" w:rsidR="000F6346" w:rsidRPr="00A170EB" w:rsidRDefault="00A170EB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При проведении в электронной форме конкурса, запроса предложений</w:t>
      </w:r>
      <w:r w:rsidR="001527E1">
        <w:rPr>
          <w:b w:val="0"/>
        </w:rPr>
        <w:t> / тендера</w:t>
      </w:r>
      <w:r w:rsidRPr="00A170EB">
        <w:rPr>
          <w:b w:val="0"/>
        </w:rPr>
        <w:t xml:space="preserve"> п</w:t>
      </w:r>
      <w:r w:rsidR="000F6346" w:rsidRPr="00A170EB">
        <w:rPr>
          <w:b w:val="0"/>
        </w:rPr>
        <w:t>ротокол открытия доступа к поданным заявкам подписывается не менее чем 2-мя (двумя) членами ЗК и секретарем не позднее следующего рабочего дня после проведения процедуры открытия доступа.</w:t>
      </w:r>
      <w:bookmarkEnd w:id="322"/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протоколы заседания по открытию доступа к поданным заявкам и/или вскрытию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14:paraId="13D3C321" w14:textId="77777777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A769D5">
        <w:rPr>
          <w:b w:val="0"/>
        </w:rPr>
        <w:t xml:space="preserve"> 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 xml:space="preserve">е допускается проведение аудиозаписи, фото- и </w:t>
      </w:r>
      <w:proofErr w:type="gramStart"/>
      <w:r w:rsidRPr="00302586">
        <w:rPr>
          <w:b w:val="0"/>
        </w:rPr>
        <w:t>видео- съемки</w:t>
      </w:r>
      <w:proofErr w:type="gramEnd"/>
      <w:r w:rsidRPr="00302586">
        <w:rPr>
          <w:b w:val="0"/>
        </w:rPr>
        <w:t>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 xml:space="preserve"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4F999E45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законодательством, 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14:paraId="3139A69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 xml:space="preserve"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rPr>
          <w:szCs w:val="28"/>
        </w:rPr>
        <w:t>неполнородными</w:t>
      </w:r>
      <w:proofErr w:type="spellEnd"/>
      <w:r w:rsidRPr="00302586">
        <w:rPr>
          <w:szCs w:val="28"/>
        </w:rPr>
        <w:t xml:space="preserve">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B1992" w14:textId="77777777" w:rsidR="00434827" w:rsidRDefault="00434827">
      <w:r>
        <w:separator/>
      </w:r>
    </w:p>
  </w:endnote>
  <w:endnote w:type="continuationSeparator" w:id="0">
    <w:p w14:paraId="31603F0E" w14:textId="77777777" w:rsidR="00434827" w:rsidRDefault="00434827">
      <w:r>
        <w:continuationSeparator/>
      </w:r>
    </w:p>
  </w:endnote>
  <w:endnote w:type="continuationNotice" w:id="1">
    <w:p w14:paraId="79573105" w14:textId="77777777" w:rsidR="00434827" w:rsidRDefault="00434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A21F5" w14:textId="77777777" w:rsidR="007E1AE3" w:rsidRDefault="007E1AE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3CEA1" w14:textId="77777777" w:rsidR="007E1AE3" w:rsidRDefault="007E1AE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611278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AC3D2" w14:textId="77777777" w:rsidR="007E1AE3" w:rsidRDefault="007E1AE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611278">
      <w:rPr>
        <w:noProof/>
      </w:rPr>
      <w:t>18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6F497" w14:textId="77777777" w:rsidR="00434827" w:rsidRDefault="00434827">
      <w:r>
        <w:separator/>
      </w:r>
    </w:p>
  </w:footnote>
  <w:footnote w:type="continuationSeparator" w:id="0">
    <w:p w14:paraId="6925D335" w14:textId="77777777" w:rsidR="00434827" w:rsidRDefault="00434827">
      <w:r>
        <w:continuationSeparator/>
      </w:r>
    </w:p>
  </w:footnote>
  <w:footnote w:type="continuationNotice" w:id="1">
    <w:p w14:paraId="7233BDA0" w14:textId="77777777" w:rsidR="00434827" w:rsidRDefault="00434827"/>
  </w:footnote>
  <w:footnote w:id="2">
    <w:p w14:paraId="24FBA3C8" w14:textId="77777777" w:rsidR="007E1AE3" w:rsidRPr="0022201E" w:rsidRDefault="007E1AE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BC379" w14:textId="77777777" w:rsidR="007E1AE3" w:rsidRPr="00166C0A" w:rsidRDefault="007E1AE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5F621" w14:textId="77777777" w:rsidR="007E1AE3" w:rsidRDefault="007E1AE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5139" w14:textId="77777777" w:rsidR="007E1AE3" w:rsidRPr="00166C0A" w:rsidRDefault="007E1AE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E20E7" w14:textId="77777777" w:rsidR="007E1AE3" w:rsidRDefault="007E1AE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080C2-0F0F-4175-BDB7-8071A14D30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3BC2FC-9F71-4590-95CE-6198668BEB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9A5D4E-87EE-4CEC-A7B6-2D977CC0B71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796B3F3-C58D-4ED3-8068-B9CD30F5E55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1CFE8FA-01A3-424D-B10D-E526C357A8DB}">
  <ds:schemaRefs>
    <ds:schemaRef ds:uri="http://purl.org/dc/elements/1.1/"/>
    <ds:schemaRef ds:uri="d74711da-d36c-457d-8d62-0a93a8b2660a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8.xml><?xml version="1.0" encoding="utf-8"?>
<ds:datastoreItem xmlns:ds="http://schemas.openxmlformats.org/officeDocument/2006/customXml" ds:itemID="{4756B02E-E5F3-4182-8A2A-F4DD1460CC7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E1B1994-CA64-4D0A-8711-3F049772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107A25D5</Template>
  <TotalTime>3</TotalTime>
  <Pages>18</Pages>
  <Words>5418</Words>
  <Characters>36283</Characters>
  <Application>Microsoft Office Word</Application>
  <DocSecurity>0</DocSecurity>
  <Lines>302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41618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Кузнецов Виталий Викторович</cp:lastModifiedBy>
  <cp:revision>5</cp:revision>
  <cp:lastPrinted>2015-07-02T11:32:00Z</cp:lastPrinted>
  <dcterms:created xsi:type="dcterms:W3CDTF">2018-09-11T16:37:00Z</dcterms:created>
  <dcterms:modified xsi:type="dcterms:W3CDTF">2018-12-06T12:28:00Z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